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22F4F" w:rsidRDefault="006B7B7A">
      <w:r w:rsidRPr="006B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D3428" wp14:editId="4656CB6E">
                <wp:simplePos x="0" y="0"/>
                <wp:positionH relativeFrom="column">
                  <wp:posOffset>130488</wp:posOffset>
                </wp:positionH>
                <wp:positionV relativeFrom="paragraph">
                  <wp:posOffset>-73025</wp:posOffset>
                </wp:positionV>
                <wp:extent cx="6713817" cy="818866"/>
                <wp:effectExtent l="0" t="0" r="11430" b="19685"/>
                <wp:wrapNone/>
                <wp:docPr id="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817" cy="81886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B7A" w:rsidRDefault="006B7B7A" w:rsidP="006B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 xml:space="preserve">ПОЖАРНАЯ БЕЗОПАСНОСТЬ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состояние защищенности личности, имущества, общества и государства от пожаров </w:t>
                            </w:r>
                          </w:p>
                          <w:p w:rsidR="006B7B7A" w:rsidRDefault="006B7B7A" w:rsidP="006B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(Федеральный закон от 21 декабря 1994 года № 69-ФЗ)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0.25pt;margin-top:-5.75pt;width:528.6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" fillcolor="#f2dbdb [661]" strokecolor="#009" strokeweight="2pt">
                <v:textbox>
                  <w:txbxContent>
                    <w:p w:rsidR="006B7B7A" w:rsidRDefault="006B7B7A" w:rsidP="006B7B7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  <w:t xml:space="preserve">ПОЖАРНАЯ БЕЗОПАСНОСТЬ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состояние защищенности личности, имущества, общества и государства от пожаров </w:t>
                      </w:r>
                    </w:p>
                    <w:p w:rsidR="006B7B7A" w:rsidRDefault="006B7B7A" w:rsidP="006B7B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(Федеральный закон от 21 декабря 1994 года № 69-ФЗ)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7B7A" w:rsidRDefault="006B7B7A"/>
    <w:p w:rsidR="006B7B7A" w:rsidRDefault="006B7B7A">
      <w:bookmarkStart w:id="0" w:name="_GoBack"/>
      <w:bookmarkEnd w:id="0"/>
    </w:p>
    <w:p w:rsidR="006B7B7A" w:rsidRDefault="003660C6">
      <w:r w:rsidRPr="006B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4904A" wp14:editId="71906044">
                <wp:simplePos x="0" y="0"/>
                <wp:positionH relativeFrom="column">
                  <wp:posOffset>2030408</wp:posOffset>
                </wp:positionH>
                <wp:positionV relativeFrom="paragraph">
                  <wp:posOffset>10160</wp:posOffset>
                </wp:positionV>
                <wp:extent cx="3038475" cy="431800"/>
                <wp:effectExtent l="0" t="0" r="28575" b="25400"/>
                <wp:wrapNone/>
                <wp:docPr id="39" name="Прямоугольная вынос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31800"/>
                        </a:xfrm>
                        <a:prstGeom prst="wedgeRectCallout">
                          <a:avLst>
                            <a:gd name="adj1" fmla="val -23587"/>
                            <a:gd name="adj2" fmla="val 49533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A" w:rsidRDefault="006B7B7A" w:rsidP="006B7B7A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ст. 38. Ответственность граждан: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38" o:spid="_x0000_s1028" type="#_x0000_t61" style="position:absolute;margin-left:159.85pt;margin-top:.8pt;width:239.25pt;height:3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" adj="5705,21499" fillcolor="#c2d69b [1942]" strokecolor="#009" strokeweight="1.5pt">
                <v:textbox>
                  <w:txbxContent>
                    <w:p w:rsidR="006B7B7A" w:rsidRDefault="006B7B7A" w:rsidP="006B7B7A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>ст. 38. Ответственность граждан:</w:t>
                      </w:r>
                    </w:p>
                  </w:txbxContent>
                </v:textbox>
              </v:shape>
            </w:pict>
          </mc:Fallback>
        </mc:AlternateContent>
      </w:r>
    </w:p>
    <w:p w:rsidR="006B7B7A" w:rsidRDefault="00CD39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5B0ED7" wp14:editId="3155063A">
                <wp:simplePos x="0" y="0"/>
                <wp:positionH relativeFrom="column">
                  <wp:posOffset>3446154</wp:posOffset>
                </wp:positionH>
                <wp:positionV relativeFrom="paragraph">
                  <wp:posOffset>121920</wp:posOffset>
                </wp:positionV>
                <wp:extent cx="259080" cy="341194"/>
                <wp:effectExtent l="19050" t="0" r="26670" b="4000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41194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71.35pt;margin-top:9.6pt;width:20.4pt;height:26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" adj="13399" fillcolor="#c2d69b [1942]" strokecolor="#009" strokeweight="1pt"/>
            </w:pict>
          </mc:Fallback>
        </mc:AlternateContent>
      </w:r>
    </w:p>
    <w:p w:rsidR="006B7B7A" w:rsidRDefault="00CD3986">
      <w:r w:rsidRPr="006B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AAD7FE" wp14:editId="4E2D17C5">
                <wp:simplePos x="0" y="0"/>
                <wp:positionH relativeFrom="column">
                  <wp:posOffset>103505</wp:posOffset>
                </wp:positionH>
                <wp:positionV relativeFrom="paragraph">
                  <wp:posOffset>165422</wp:posOffset>
                </wp:positionV>
                <wp:extent cx="6713817" cy="1405255"/>
                <wp:effectExtent l="0" t="0" r="11430" b="23495"/>
                <wp:wrapNone/>
                <wp:docPr id="38" name="Прямоугольная выноск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817" cy="1405255"/>
                        </a:xfrm>
                        <a:prstGeom prst="wedgeRectCallout">
                          <a:avLst>
                            <a:gd name="adj1" fmla="val -21692"/>
                            <a:gd name="adj2" fmla="val 45438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A" w:rsidRPr="006B7B7A" w:rsidRDefault="006B7B7A" w:rsidP="006B7B7A">
                            <w:pPr>
                              <w:pStyle w:val="a5"/>
                              <w:spacing w:before="0" w:beforeAutospacing="0" w:after="0" w:afterAutospacing="0"/>
                              <w:ind w:firstLine="54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Ответственность за нарушение требований пожарной безопасности несут: собственники имущества, ответственные квартиросъемщики или арендаторы, руководители организаций, должностные лица в пределах их компетенции.</w:t>
                            </w:r>
                          </w:p>
                          <w:p w:rsidR="006B7B7A" w:rsidRPr="006B7B7A" w:rsidRDefault="006B7B7A" w:rsidP="006B7B7A">
                            <w:pPr>
                              <w:pStyle w:val="a5"/>
                              <w:spacing w:before="0" w:beforeAutospacing="0" w:after="0" w:afterAutospacing="0"/>
                              <w:ind w:firstLine="54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За нарушение требований пожарной безопасности граждане могут быть привлечены к дисциплинарной, административной и уголовной ответственности в соответствии с действующим законодательством.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37" o:spid="_x0000_s1029" type="#_x0000_t61" style="position:absolute;margin-left:8.15pt;margin-top:13.05pt;width:528.65pt;height:1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" adj="6115,20615" fillcolor="#fabf8f [1945]" strokecolor="#009" strokeweight="1.5pt">
                <v:textbox>
                  <w:txbxContent>
                    <w:p w:rsidR="006B7B7A" w:rsidRPr="006B7B7A" w:rsidRDefault="006B7B7A" w:rsidP="006B7B7A">
                      <w:pPr>
                        <w:pStyle w:val="a5"/>
                        <w:spacing w:before="0" w:beforeAutospacing="0" w:after="0" w:afterAutospacing="0"/>
                        <w:ind w:firstLine="547"/>
                        <w:jc w:val="both"/>
                        <w:rPr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Ответственность за нарушение требований пожарной безопасности несут: собственники имущества, ответственные квартиросъемщики или арендаторы, руководители организаций, должностные лица в пределах их компетенции.</w:t>
                      </w:r>
                    </w:p>
                    <w:p w:rsidR="006B7B7A" w:rsidRPr="006B7B7A" w:rsidRDefault="006B7B7A" w:rsidP="006B7B7A">
                      <w:pPr>
                        <w:pStyle w:val="a5"/>
                        <w:spacing w:before="0" w:beforeAutospacing="0" w:after="0" w:afterAutospacing="0"/>
                        <w:ind w:firstLine="547"/>
                        <w:jc w:val="both"/>
                        <w:rPr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За нарушение требований пожарной безопасности граждане могут быть привлечены к дисциплинарной, административной и уголовной ответственности в соответствии с действующим законодательством.</w:t>
                      </w:r>
                    </w:p>
                  </w:txbxContent>
                </v:textbox>
              </v:shape>
            </w:pict>
          </mc:Fallback>
        </mc:AlternateContent>
      </w:r>
    </w:p>
    <w:p w:rsidR="006B7B7A" w:rsidRDefault="006B7B7A"/>
    <w:p w:rsidR="006B7B7A" w:rsidRDefault="006B7B7A"/>
    <w:p w:rsidR="006B7B7A" w:rsidRDefault="006B7B7A"/>
    <w:p w:rsidR="006B7B7A" w:rsidRDefault="006B7B7A"/>
    <w:p w:rsidR="003C43E1" w:rsidRDefault="003C43E1">
      <w:r w:rsidRPr="006B7B7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848F96" wp14:editId="64855EA2">
            <wp:simplePos x="0" y="0"/>
            <wp:positionH relativeFrom="column">
              <wp:posOffset>3064188</wp:posOffset>
            </wp:positionH>
            <wp:positionV relativeFrom="paragraph">
              <wp:posOffset>182245</wp:posOffset>
            </wp:positionV>
            <wp:extent cx="982345" cy="1039495"/>
            <wp:effectExtent l="19050" t="19050" r="27305" b="27305"/>
            <wp:wrapNone/>
            <wp:docPr id="1027" name="Picture 3" descr="C:\Users\Pinigina.POLEVSKOY-ADM\Desktop\Пинигина\Обучение\УКП\заказ стендов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Pinigina.POLEVSKOY-ADM\Desktop\Пинигина\Обучение\УКП\заказ стендов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394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99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B7A" w:rsidRDefault="003C43E1">
      <w:r w:rsidRPr="006B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8751B" wp14:editId="4A614A1A">
                <wp:simplePos x="0" y="0"/>
                <wp:positionH relativeFrom="column">
                  <wp:posOffset>4182110</wp:posOffset>
                </wp:positionH>
                <wp:positionV relativeFrom="paragraph">
                  <wp:posOffset>13335</wp:posOffset>
                </wp:positionV>
                <wp:extent cx="2185670" cy="607060"/>
                <wp:effectExtent l="0" t="0" r="24130" b="21590"/>
                <wp:wrapNone/>
                <wp:docPr id="34" name="Прямоугольная вынос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607060"/>
                        </a:xfrm>
                        <a:prstGeom prst="wedgeRectCallout">
                          <a:avLst>
                            <a:gd name="adj1" fmla="val 26254"/>
                            <a:gd name="adj2" fmla="val 47746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A" w:rsidRDefault="006B7B7A" w:rsidP="006B7B7A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ст</w:t>
                            </w:r>
                            <w:proofErr w:type="spellEnd"/>
                            <w:proofErr w:type="gramEnd"/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34. </w:t>
                            </w:r>
                          </w:p>
                          <w:p w:rsidR="006B7B7A" w:rsidRDefault="006B7B7A" w:rsidP="006B7B7A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Граждане обязаны: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33" o:spid="_x0000_s1030" type="#_x0000_t61" style="position:absolute;margin-left:329.3pt;margin-top:1.05pt;width:172.1pt;height:4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" adj="16471,21113" fillcolor="#c2d69b [1942]" strokecolor="#009" strokeweight="1.5pt">
                <v:textbox>
                  <w:txbxContent>
                    <w:p w:rsidR="006B7B7A" w:rsidRDefault="006B7B7A" w:rsidP="006B7B7A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>ст</w:t>
                      </w:r>
                      <w:proofErr w:type="spellEnd"/>
                      <w:proofErr w:type="gramEnd"/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34. </w:t>
                      </w:r>
                    </w:p>
                    <w:p w:rsidR="006B7B7A" w:rsidRDefault="006B7B7A" w:rsidP="006B7B7A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>Граждане обязаны:</w:t>
                      </w:r>
                    </w:p>
                  </w:txbxContent>
                </v:textbox>
              </v:shape>
            </w:pict>
          </mc:Fallback>
        </mc:AlternateContent>
      </w:r>
      <w:r w:rsidRPr="006B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49141" wp14:editId="5A251ADE">
                <wp:simplePos x="0" y="0"/>
                <wp:positionH relativeFrom="column">
                  <wp:posOffset>567690</wp:posOffset>
                </wp:positionH>
                <wp:positionV relativeFrom="paragraph">
                  <wp:posOffset>19685</wp:posOffset>
                </wp:positionV>
                <wp:extent cx="2333625" cy="614045"/>
                <wp:effectExtent l="0" t="0" r="28575" b="14605"/>
                <wp:wrapNone/>
                <wp:docPr id="33" name="Прямоугольная вынос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14045"/>
                        </a:xfrm>
                        <a:prstGeom prst="wedgeRectCallout">
                          <a:avLst>
                            <a:gd name="adj1" fmla="val -16059"/>
                            <a:gd name="adj2" fmla="val 44704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A" w:rsidRDefault="006B7B7A" w:rsidP="006B7B7A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ст. 34. </w:t>
                            </w:r>
                          </w:p>
                          <w:p w:rsidR="006B7B7A" w:rsidRDefault="006B7B7A" w:rsidP="006B7B7A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Граждане имеют право </w:t>
                            </w:r>
                            <w:proofErr w:type="gramStart"/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32" o:spid="_x0000_s1031" type="#_x0000_t61" style="position:absolute;margin-left:44.7pt;margin-top:1.55pt;width:183.75pt;height:4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" adj="7331,20456" fillcolor="#c2d69b [1942]" strokecolor="#009" strokeweight="1.5pt">
                <v:textbox>
                  <w:txbxContent>
                    <w:p w:rsidR="006B7B7A" w:rsidRDefault="006B7B7A" w:rsidP="006B7B7A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ст. 34. </w:t>
                      </w:r>
                    </w:p>
                    <w:p w:rsidR="006B7B7A" w:rsidRDefault="006B7B7A" w:rsidP="006B7B7A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Граждане имеют право </w:t>
                      </w:r>
                      <w:proofErr w:type="gramStart"/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  <w:t>на</w:t>
                      </w:r>
                      <w:proofErr w:type="gramEnd"/>
                      <w:r>
                        <w:rPr>
                          <w:rFonts w:eastAsia="Calibr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B7B7A" w:rsidRDefault="003C43E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A19F3E" wp14:editId="4D66EC15">
                <wp:simplePos x="0" y="0"/>
                <wp:positionH relativeFrom="column">
                  <wp:posOffset>6217920</wp:posOffset>
                </wp:positionH>
                <wp:positionV relativeFrom="paragraph">
                  <wp:posOffset>157158</wp:posOffset>
                </wp:positionV>
                <wp:extent cx="477491" cy="709295"/>
                <wp:effectExtent l="0" t="0" r="18415" b="14605"/>
                <wp:wrapNone/>
                <wp:docPr id="6" name="Выгнутая влево стрел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7491" cy="709295"/>
                        </a:xfrm>
                        <a:prstGeom prst="curved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6" o:spid="_x0000_s1026" type="#_x0000_t102" style="position:absolute;margin-left:489.6pt;margin-top:12.35pt;width:37.6pt;height:55.85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" adj="14330,19783,16200" fillcolor="#c2d69b [1942]" strokecolor="#009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2ECD1E" wp14:editId="547FB723">
                <wp:simplePos x="0" y="0"/>
                <wp:positionH relativeFrom="column">
                  <wp:posOffset>296545</wp:posOffset>
                </wp:positionH>
                <wp:positionV relativeFrom="paragraph">
                  <wp:posOffset>213995</wp:posOffset>
                </wp:positionV>
                <wp:extent cx="423080" cy="709304"/>
                <wp:effectExtent l="0" t="0" r="15240" b="14605"/>
                <wp:wrapNone/>
                <wp:docPr id="7" name="Выгнутая влево стрел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709304"/>
                        </a:xfrm>
                        <a:prstGeom prst="curved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лево стрелка 7" o:spid="_x0000_s1026" type="#_x0000_t102" style="position:absolute;margin-left:23.35pt;margin-top:16.85pt;width:33.3pt;height:55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" adj="15158,19989,16200" fillcolor="#c2d69b [1942]" strokecolor="#009" strokeweight="1pt"/>
            </w:pict>
          </mc:Fallback>
        </mc:AlternateContent>
      </w:r>
    </w:p>
    <w:p w:rsidR="006B7B7A" w:rsidRDefault="006B7B7A"/>
    <w:p w:rsidR="006B7B7A" w:rsidRDefault="00CD3986">
      <w:r w:rsidRPr="006B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26EB5" wp14:editId="58DDF62F">
                <wp:simplePos x="0" y="0"/>
                <wp:positionH relativeFrom="column">
                  <wp:posOffset>3679190</wp:posOffset>
                </wp:positionH>
                <wp:positionV relativeFrom="paragraph">
                  <wp:posOffset>97155</wp:posOffset>
                </wp:positionV>
                <wp:extent cx="3216275" cy="4202430"/>
                <wp:effectExtent l="0" t="0" r="22225" b="26670"/>
                <wp:wrapNone/>
                <wp:docPr id="36" name="Прямоугольная вынос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4202430"/>
                        </a:xfrm>
                        <a:prstGeom prst="wedgeRectCallout">
                          <a:avLst>
                            <a:gd name="adj1" fmla="val -21692"/>
                            <a:gd name="adj2" fmla="val 45438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соблюдать требования пожарной безопасности;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иметь в помещениях и строениях первичные средства тушения пожаров и противопожарный инвентарь;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при обнаружении пожаров немедленно уведомлять о них пожарную охрану;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до прибытия пожарной охраны принимать посильные меры по спасению людей, имущества и тушению пожаров;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оказывать содействие пожарной охране при тушении пожаров;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выполнять предписания, постановления и иные законные требования должностных лиц государственного пожарного надзора.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35" o:spid="_x0000_s1032" type="#_x0000_t61" style="position:absolute;margin-left:289.7pt;margin-top:7.65pt;width:253.25pt;height:33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" adj="6115,20615" fillcolor="#fabf8f [1945]" strokecolor="#009" strokeweight="1.5pt">
                <v:textbox>
                  <w:txbxContent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соблюдать требования пожарной безопасности;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иметь в помещениях и строениях первичные средства тушения пожаров и противопожарный инвентарь;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при обнаружении пожаров немедленно уведомлять о них пожарную охрану;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до прибытия пожарной охраны принимать посильные меры по спасению людей, имущества и тушению пожаров;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оказывать содействие пожарной охране при тушении пожаров;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выполнять предписания, постановления и иные законные требования должностных лиц государственного пожарного надзора.</w:t>
                      </w:r>
                    </w:p>
                  </w:txbxContent>
                </v:textbox>
              </v:shape>
            </w:pict>
          </mc:Fallback>
        </mc:AlternateContent>
      </w:r>
      <w:r w:rsidRPr="006B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160E9" wp14:editId="1D6F865D">
                <wp:simplePos x="0" y="0"/>
                <wp:positionH relativeFrom="column">
                  <wp:posOffset>103505</wp:posOffset>
                </wp:positionH>
                <wp:positionV relativeFrom="paragraph">
                  <wp:posOffset>121607</wp:posOffset>
                </wp:positionV>
                <wp:extent cx="3315970" cy="4175760"/>
                <wp:effectExtent l="0" t="0" r="17780" b="15240"/>
                <wp:wrapNone/>
                <wp:docPr id="35" name="Прямоугольная вынос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70" cy="4175760"/>
                        </a:xfrm>
                        <a:prstGeom prst="wedgeRectCallout">
                          <a:avLst>
                            <a:gd name="adj1" fmla="val -21692"/>
                            <a:gd name="adj2" fmla="val 45438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защиту их жизни, здоровья и имущества в случае пожара;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возмещение ущерба, причиненного пожаром, в порядке, установленном действующим законодательством;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участие в установлении причин пожара, нанесшего ущерб их здоровью и имуществу;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                      </w:r>
                          </w:p>
                          <w:p w:rsidR="006B7B7A" w:rsidRPr="006B7B7A" w:rsidRDefault="006B7B7A" w:rsidP="006B7B7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6B7B7A">
                              <w:rPr>
                                <w:rFonts w:eastAsia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участие в обеспечении пожарной безопасности, в том числе в установленном порядке в деятельности добровольной пожарной охраны.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34" o:spid="_x0000_s1033" type="#_x0000_t61" style="position:absolute;margin-left:8.15pt;margin-top:9.6pt;width:261.1pt;height:3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" adj="6115,20615" fillcolor="#fabf8f [1945]" strokecolor="#009" strokeweight="1.5pt">
                <v:textbox>
                  <w:txbxContent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защиту их жизни, здоровья и имущества в случае пожара;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возмещение ущерба, причиненного пожаром, в порядке, установленном действующим законодательством;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участие в установлении причин пожара, нанесшего ущерб их здоровью и имуществу;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                </w:r>
                    </w:p>
                    <w:p w:rsidR="006B7B7A" w:rsidRPr="006B7B7A" w:rsidRDefault="006B7B7A" w:rsidP="006B7B7A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ind w:left="426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участие в обеспечении пожарной безопасности, в том числе в ус</w:t>
                      </w:r>
                      <w:bookmarkStart w:id="1" w:name="_GoBack"/>
                      <w:r w:rsidRPr="006B7B7A">
                        <w:rPr>
                          <w:rFonts w:eastAsia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тановленном порядке в деятельности добровольной пожарной охраны.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6B7B7A" w:rsidRDefault="006B7B7A"/>
    <w:p w:rsidR="00CD3986" w:rsidRDefault="00CD3986" w:rsidP="00CD3986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CD3986" w:rsidRPr="00213F72" w:rsidRDefault="00CD3986" w:rsidP="00CD3986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Соблюдение правил пожарной безопасности </w:t>
      </w:r>
    </w:p>
    <w:p w:rsidR="00CD3986" w:rsidRPr="00213F72" w:rsidRDefault="00CD3986" w:rsidP="00CD3986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может сохранить Вашу жизнь и жизнь </w:t>
      </w:r>
      <w:proofErr w:type="gramStart"/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>Ваших</w:t>
      </w:r>
      <w:proofErr w:type="gramEnd"/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 близких!</w:t>
      </w:r>
    </w:p>
    <w:p w:rsidR="00CD3986" w:rsidRPr="00213F72" w:rsidRDefault="00CD3986" w:rsidP="00CD3986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213F72">
        <w:rPr>
          <w:rFonts w:ascii="Times New Roman" w:hAnsi="Times New Roman" w:cs="Times New Roman"/>
          <w:b/>
          <w:color w:val="003300"/>
          <w:sz w:val="32"/>
          <w:szCs w:val="32"/>
          <w:u w:val="single"/>
        </w:rPr>
        <w:t>Телефоны спасения</w:t>
      </w:r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 – </w:t>
      </w:r>
      <w:r w:rsidR="003660C6" w:rsidRPr="00213F72">
        <w:rPr>
          <w:rFonts w:ascii="Times New Roman" w:hAnsi="Times New Roman" w:cs="Times New Roman"/>
          <w:b/>
          <w:color w:val="C00000"/>
          <w:sz w:val="32"/>
          <w:szCs w:val="32"/>
        </w:rPr>
        <w:t>112</w:t>
      </w:r>
      <w:r w:rsidRPr="00213F7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>(любой оператор),</w:t>
      </w:r>
    </w:p>
    <w:p w:rsidR="003660C6" w:rsidRPr="00213F72" w:rsidRDefault="00CD3986" w:rsidP="00CD3986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213F72">
        <w:rPr>
          <w:rFonts w:ascii="Times New Roman" w:hAnsi="Times New Roman" w:cs="Times New Roman"/>
          <w:b/>
          <w:color w:val="C00000"/>
          <w:sz w:val="32"/>
          <w:szCs w:val="32"/>
        </w:rPr>
        <w:t>01</w:t>
      </w:r>
      <w:r w:rsidR="003660C6" w:rsidRPr="00213F72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 (МТС, Мегафон), </w:t>
      </w:r>
      <w:r w:rsidRPr="00213F72">
        <w:rPr>
          <w:rFonts w:ascii="Times New Roman" w:hAnsi="Times New Roman" w:cs="Times New Roman"/>
          <w:b/>
          <w:color w:val="C00000"/>
          <w:sz w:val="32"/>
          <w:szCs w:val="32"/>
        </w:rPr>
        <w:t>00</w:t>
      </w:r>
      <w:r w:rsidR="003660C6" w:rsidRPr="00213F72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 (Билайн), </w:t>
      </w:r>
      <w:r w:rsidRPr="00213F7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901 </w:t>
      </w:r>
      <w:r w:rsidRPr="00213F72">
        <w:rPr>
          <w:rFonts w:ascii="Times New Roman" w:hAnsi="Times New Roman" w:cs="Times New Roman"/>
          <w:b/>
          <w:color w:val="003300"/>
          <w:sz w:val="32"/>
          <w:szCs w:val="32"/>
        </w:rPr>
        <w:t>(Мотив)</w:t>
      </w:r>
    </w:p>
    <w:p w:rsidR="006B7B7A" w:rsidRPr="00213F72" w:rsidRDefault="00772298" w:rsidP="00054786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olor w:val="000099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213F72">
        <w:rPr>
          <w:rFonts w:ascii="Times New Roman Полужирный" w:hAnsi="Times New Roman Полужирный" w:cs="Times New Roman"/>
          <w:b/>
          <w:color w:val="000099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lastRenderedPageBreak/>
        <w:t>ПРАВИЛА ЭВАКУАЦИИ</w:t>
      </w:r>
      <w:r w:rsidR="003660C6" w:rsidRPr="00213F72">
        <w:rPr>
          <w:rFonts w:ascii="Times New Roman Полужирный" w:hAnsi="Times New Roman Полужирный" w:cs="Times New Roman"/>
          <w:b/>
          <w:color w:val="000099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ПРИ ПОЖАРЕ</w:t>
      </w:r>
    </w:p>
    <w:p w:rsidR="003660C6" w:rsidRPr="00CD3986" w:rsidRDefault="003660C6" w:rsidP="00054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CD3986">
        <w:rPr>
          <w:rFonts w:ascii="Times New Roman" w:hAnsi="Times New Roman" w:cs="Times New Roman"/>
          <w:b/>
          <w:color w:val="000099"/>
          <w:sz w:val="28"/>
          <w:szCs w:val="28"/>
        </w:rPr>
        <w:t>НЕ ПАНИКУЙТЕ!</w:t>
      </w:r>
    </w:p>
    <w:p w:rsidR="00054786" w:rsidRPr="00054786" w:rsidRDefault="00054786" w:rsidP="000547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54786">
        <w:rPr>
          <w:rFonts w:ascii="Times New Roman" w:hAnsi="Times New Roman" w:cs="Times New Roman"/>
          <w:color w:val="000099"/>
          <w:sz w:val="28"/>
          <w:szCs w:val="28"/>
        </w:rPr>
        <w:t>Убедитесь через дверной глазок, что за дверью нет сильного дыма.</w:t>
      </w:r>
    </w:p>
    <w:p w:rsidR="00054786" w:rsidRDefault="00054786" w:rsidP="000547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54786">
        <w:rPr>
          <w:rFonts w:ascii="Times New Roman" w:hAnsi="Times New Roman" w:cs="Times New Roman"/>
          <w:color w:val="000099"/>
          <w:sz w:val="28"/>
          <w:szCs w:val="28"/>
        </w:rPr>
        <w:t>Не входите туда, где большая концентрация дыма и видимость менее 10 м. Достаточно сделать несколько вдохов, и Вы можете погибнуть от отравления продуктами горения.</w:t>
      </w:r>
    </w:p>
    <w:p w:rsidR="00054786" w:rsidRPr="00054786" w:rsidRDefault="00054786" w:rsidP="00054786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Приложите руку к двери или осторожно потрогайте металлический замок, ручку. Если они горячие, то ни в коем случае не открывайте эту дверь!</w:t>
      </w:r>
      <w:r>
        <w:rPr>
          <w:rFonts w:ascii="Times New Roman" w:hAnsi="Times New Roman" w:cs="Times New Roman"/>
          <w:color w:val="000099"/>
          <w:sz w:val="28"/>
          <w:szCs w:val="28"/>
        </w:rPr>
        <w:tab/>
      </w:r>
    </w:p>
    <w:p w:rsidR="00772298" w:rsidRPr="00CD3986" w:rsidRDefault="00054786" w:rsidP="00054786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D3986">
        <w:rPr>
          <w:rFonts w:ascii="Times New Roman" w:hAnsi="Times New Roman" w:cs="Times New Roman"/>
          <w:b/>
          <w:color w:val="C00000"/>
          <w:sz w:val="32"/>
          <w:szCs w:val="32"/>
        </w:rPr>
        <w:t>Если за дверью нет пожара и</w:t>
      </w:r>
      <w:r w:rsidR="00772298" w:rsidRPr="00CD398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выход наружу свободен:</w:t>
      </w:r>
    </w:p>
    <w:p w:rsidR="00054786" w:rsidRPr="00054786" w:rsidRDefault="00054786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 w:rsidRPr="00054786">
        <w:rPr>
          <w:color w:val="000099"/>
          <w:sz w:val="28"/>
          <w:szCs w:val="28"/>
        </w:rPr>
        <w:t xml:space="preserve">уходите от огня! </w:t>
      </w:r>
      <w:r w:rsidR="00A04B0D">
        <w:rPr>
          <w:color w:val="000099"/>
          <w:sz w:val="28"/>
          <w:szCs w:val="28"/>
        </w:rPr>
        <w:t>Н</w:t>
      </w:r>
      <w:r w:rsidRPr="00054786">
        <w:rPr>
          <w:color w:val="000099"/>
          <w:sz w:val="28"/>
          <w:szCs w:val="28"/>
        </w:rPr>
        <w:t>ичего не ищите и не собирайте!</w:t>
      </w:r>
    </w:p>
    <w:p w:rsidR="00054786" w:rsidRDefault="00054786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 w:rsidRPr="00054786">
        <w:rPr>
          <w:color w:val="000099"/>
          <w:sz w:val="28"/>
          <w:szCs w:val="28"/>
        </w:rPr>
        <w:t>ни в коем случае в подъезде не пользуйтесь лифтом: во время пожара он может отключиться в любую секунду;</w:t>
      </w:r>
    </w:p>
    <w:p w:rsidR="00A04B0D" w:rsidRDefault="00A04B0D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если есть возможность, попутно отключите напряжение на электрическом щите, расположенном на лестничной клетке;</w:t>
      </w:r>
    </w:p>
    <w:p w:rsidR="00A04B0D" w:rsidRDefault="00A04B0D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плотно закрывайте за собой двери, чтобы преградить дорогу огню;</w:t>
      </w:r>
    </w:p>
    <w:p w:rsidR="00A04B0D" w:rsidRDefault="00A04B0D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входную дверь на ключ не закрывайте, чтобы пожарные могли войти в квартиру для тушения пожара;</w:t>
      </w:r>
    </w:p>
    <w:p w:rsidR="00A04B0D" w:rsidRDefault="00A04B0D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сообщите соседям о пожаре;</w:t>
      </w:r>
    </w:p>
    <w:p w:rsidR="00A04B0D" w:rsidRDefault="00A04B0D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окажите помощь в эвакуации людям с ограниченными возможностями;</w:t>
      </w:r>
    </w:p>
    <w:p w:rsidR="00A04B0D" w:rsidRDefault="00A04B0D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оказавшись в безопасном месте, вызовите пожарных;</w:t>
      </w:r>
    </w:p>
    <w:p w:rsidR="00A04B0D" w:rsidRPr="00054786" w:rsidRDefault="00A04B0D" w:rsidP="000547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ожидая прибытия пожарных, находитесь среди людей, чтобы все знали и видели, что Вы покинули свое помещение.</w:t>
      </w:r>
    </w:p>
    <w:p w:rsidR="00772298" w:rsidRPr="00CD3986" w:rsidRDefault="00772298" w:rsidP="00054786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D398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Если </w:t>
      </w:r>
      <w:r w:rsidR="00A04B0D" w:rsidRPr="00CD398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огонь и </w:t>
      </w:r>
      <w:r w:rsidRPr="00CD3986">
        <w:rPr>
          <w:rFonts w:ascii="Times New Roman" w:hAnsi="Times New Roman" w:cs="Times New Roman"/>
          <w:b/>
          <w:color w:val="C00000"/>
          <w:sz w:val="32"/>
          <w:szCs w:val="32"/>
        </w:rPr>
        <w:t>дым не позволяют выйти наружу:</w:t>
      </w:r>
    </w:p>
    <w:p w:rsidR="00A04B0D" w:rsidRDefault="00A04B0D" w:rsidP="00A04B0D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если Вы в многоэтажном здании, проверьте, существует ли возможность выйти на крышу или спуститься по незадымляемой пожарной лестнице, пройти через соседние лоджии;</w:t>
      </w:r>
    </w:p>
    <w:p w:rsidR="00A04B0D" w:rsidRDefault="00A04B0D" w:rsidP="00A04B0D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если возможности эвакуироваться нет, то для защиты от жара и дыма постарайтесь надежно </w:t>
      </w:r>
      <w:proofErr w:type="spellStart"/>
      <w:r>
        <w:rPr>
          <w:color w:val="000099"/>
          <w:sz w:val="28"/>
          <w:szCs w:val="28"/>
        </w:rPr>
        <w:t>загерметизировать</w:t>
      </w:r>
      <w:proofErr w:type="spellEnd"/>
      <w:r>
        <w:rPr>
          <w:color w:val="000099"/>
          <w:sz w:val="28"/>
          <w:szCs w:val="28"/>
        </w:rPr>
        <w:t xml:space="preserve"> помещение: плотно закройте двери, намочите водой любую ткань, одежду или шторы и плотно заткните ими щели изнутри помещения. Во избежание тяги из коридора и проникновения дыма с улицы – закройте окна, форточки, заткните вентиляционные отверстия, закройте фрамуги вентиляционных решеток;</w:t>
      </w:r>
    </w:p>
    <w:p w:rsidR="00A04B0D" w:rsidRDefault="003660C6" w:rsidP="00A04B0D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если есть вода, постоянно смачивайте двери, пол, тряпки;</w:t>
      </w:r>
    </w:p>
    <w:p w:rsidR="003660C6" w:rsidRDefault="003660C6" w:rsidP="00A04B0D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вызовите пожарных: объясните диспетчеру, где именно Вы находитесь и что Вы отрезаны огнем от выхода;</w:t>
      </w:r>
    </w:p>
    <w:p w:rsidR="003660C6" w:rsidRDefault="003660C6" w:rsidP="00A04B0D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если комната наполнилась дымом, передвигайтесь ползком – так будет легче дышать;</w:t>
      </w:r>
    </w:p>
    <w:p w:rsidR="003660C6" w:rsidRDefault="003660C6" w:rsidP="00A04B0D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оберните лицо повязкой из влажной ткани, защитите глаза;</w:t>
      </w:r>
    </w:p>
    <w:p w:rsidR="003660C6" w:rsidRDefault="003660C6" w:rsidP="00A04B0D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продвигайтесь в сторону окна, находитесь возле него и привлекайте к себе внимание людей на улице;</w:t>
      </w:r>
    </w:p>
    <w:p w:rsidR="003660C6" w:rsidRDefault="003660C6" w:rsidP="003660C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без крайней необходимости (удушье, помутнение сознания) старайтесь не открывать и не разбивать окна: приток воздуха увеличит тягу, а дым и пламя быстро заполнят помещение;</w:t>
      </w:r>
    </w:p>
    <w:p w:rsidR="00CD3986" w:rsidRDefault="003660C6" w:rsidP="00CD39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для привлечения внимания людей и спасателей можно вывесить из форточки или из окна (не распахивая их!) большой кусок яркой ткани. Если конструкция окна не позволяет это сделать, можно губной помадой во все стекло написать «</w:t>
      </w:r>
      <w:r>
        <w:rPr>
          <w:color w:val="000099"/>
          <w:sz w:val="28"/>
          <w:szCs w:val="28"/>
          <w:lang w:val="en-US"/>
        </w:rPr>
        <w:t>SOS</w:t>
      </w:r>
      <w:r>
        <w:rPr>
          <w:color w:val="000099"/>
          <w:sz w:val="28"/>
          <w:szCs w:val="28"/>
        </w:rPr>
        <w:t>» или начертить огромный восклицательный знак;</w:t>
      </w:r>
    </w:p>
    <w:p w:rsidR="006B7B7A" w:rsidRPr="00CD3986" w:rsidRDefault="003660C6" w:rsidP="00CD3986">
      <w:pPr>
        <w:pStyle w:val="a6"/>
        <w:numPr>
          <w:ilvl w:val="0"/>
          <w:numId w:val="4"/>
        </w:numPr>
        <w:jc w:val="both"/>
        <w:rPr>
          <w:color w:val="000099"/>
          <w:sz w:val="28"/>
          <w:szCs w:val="28"/>
        </w:rPr>
      </w:pPr>
      <w:r w:rsidRPr="00CD3986">
        <w:rPr>
          <w:color w:val="000099"/>
          <w:sz w:val="28"/>
          <w:szCs w:val="28"/>
        </w:rPr>
        <w:t>постоянно держите связь с пожарной охраной.</w:t>
      </w:r>
    </w:p>
    <w:sectPr w:rsidR="006B7B7A" w:rsidRPr="00CD3986" w:rsidSect="00E611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pt;height:8.6pt" o:bullet="t">
        <v:imagedata r:id="rId1" o:title="BD10300_"/>
      </v:shape>
    </w:pict>
  </w:numPicBullet>
  <w:numPicBullet w:numPicBulletId="1">
    <w:pict>
      <v:shape id="_x0000_i1029" type="#_x0000_t75" style="width:10.75pt;height:10.75pt" o:bullet="t">
        <v:imagedata r:id="rId2" o:title="mso3917"/>
      </v:shape>
    </w:pict>
  </w:numPicBullet>
  <w:abstractNum w:abstractNumId="0">
    <w:nsid w:val="02A65595"/>
    <w:multiLevelType w:val="hybridMultilevel"/>
    <w:tmpl w:val="0B005210"/>
    <w:lvl w:ilvl="0" w:tplc="AFF28E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001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FED1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428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253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C16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4BE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726F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42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37ED4"/>
    <w:multiLevelType w:val="hybridMultilevel"/>
    <w:tmpl w:val="C15A2BB4"/>
    <w:lvl w:ilvl="0" w:tplc="DC46E5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D3EC0"/>
    <w:multiLevelType w:val="hybridMultilevel"/>
    <w:tmpl w:val="39FE53E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250D4"/>
    <w:multiLevelType w:val="hybridMultilevel"/>
    <w:tmpl w:val="2CECB412"/>
    <w:lvl w:ilvl="0" w:tplc="98906B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AD5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85A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AE4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A2FD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C00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CD0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032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688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F8"/>
    <w:rsid w:val="00054786"/>
    <w:rsid w:val="00056343"/>
    <w:rsid w:val="00213F72"/>
    <w:rsid w:val="003660C6"/>
    <w:rsid w:val="003C43E1"/>
    <w:rsid w:val="006B7B7A"/>
    <w:rsid w:val="007120C3"/>
    <w:rsid w:val="00772298"/>
    <w:rsid w:val="009263A1"/>
    <w:rsid w:val="00A04B0D"/>
    <w:rsid w:val="00AE65F8"/>
    <w:rsid w:val="00C22F4F"/>
    <w:rsid w:val="00CD3986"/>
    <w:rsid w:val="00E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B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7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7B7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B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7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7B7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926F-9E82-4BCD-BE93-B5FF6E5A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Ирина Пинигина</cp:lastModifiedBy>
  <cp:revision>6</cp:revision>
  <dcterms:created xsi:type="dcterms:W3CDTF">2016-03-03T05:06:00Z</dcterms:created>
  <dcterms:modified xsi:type="dcterms:W3CDTF">2016-04-15T07:47:00Z</dcterms:modified>
</cp:coreProperties>
</file>