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89" w:rsidRPr="00C875AE" w:rsidRDefault="00972C89" w:rsidP="00972C89">
      <w:pPr>
        <w:rPr>
          <w:rFonts w:ascii="Cambria Math" w:hAnsi="Cambria Math"/>
          <w:b/>
          <w:color w:val="17365D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DA2268" wp14:editId="2866A668">
            <wp:simplePos x="0" y="0"/>
            <wp:positionH relativeFrom="margin">
              <wp:posOffset>2647950</wp:posOffset>
            </wp:positionH>
            <wp:positionV relativeFrom="margin">
              <wp:posOffset>-269240</wp:posOffset>
            </wp:positionV>
            <wp:extent cx="518795" cy="544195"/>
            <wp:effectExtent l="0" t="0" r="0" b="8255"/>
            <wp:wrapSquare wrapText="bothSides"/>
            <wp:docPr id="2" name="Рисунок 2" descr="Описание: 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72C89" w:rsidRDefault="00972C89" w:rsidP="00972C89">
      <w:pPr>
        <w:spacing w:after="0"/>
        <w:jc w:val="center"/>
        <w:rPr>
          <w:rFonts w:ascii="Bahnschrift SemiLight" w:hAnsi="Bahnschrift SemiLight"/>
          <w:b/>
          <w:i/>
          <w:color w:val="0070C0"/>
          <w:sz w:val="28"/>
          <w:szCs w:val="24"/>
        </w:rPr>
      </w:pPr>
      <w:r>
        <w:rPr>
          <w:rFonts w:ascii="Bahnschrift SemiLight" w:hAnsi="Bahnschrift SemiLight"/>
          <w:b/>
          <w:i/>
          <w:color w:val="0070C0"/>
          <w:sz w:val="28"/>
          <w:szCs w:val="24"/>
        </w:rPr>
        <w:t>ПОЛЕВСКАЯ  ГОРОДСКАЯ  ОРГАНИЗАЦИЯ  ПРОФСОЮЗА  (20.05.2022)</w:t>
      </w:r>
    </w:p>
    <w:p w:rsidR="00972C89" w:rsidRDefault="00972C89" w:rsidP="00972C89">
      <w:pPr>
        <w:spacing w:after="0"/>
        <w:jc w:val="center"/>
        <w:rPr>
          <w:rFonts w:ascii="Bahnschrift SemiLight" w:hAnsi="Bahnschrift SemiLight"/>
          <w:b/>
          <w:i/>
          <w:color w:val="0070C0"/>
          <w:sz w:val="28"/>
          <w:szCs w:val="24"/>
        </w:rPr>
      </w:pPr>
      <w:r w:rsidRPr="00EF6C53">
        <w:rPr>
          <w:rFonts w:ascii="Bahnschrift SemiLight" w:hAnsi="Bahnschrift SemiLight"/>
          <w:b/>
          <w:i/>
          <w:color w:val="0070C0"/>
          <w:sz w:val="28"/>
          <w:szCs w:val="24"/>
        </w:rPr>
        <w:t>ИНФОРМАЦИОННЫЙ ВЫПУСК</w:t>
      </w:r>
    </w:p>
    <w:p w:rsidR="00972C89" w:rsidRDefault="00972C89" w:rsidP="00972C89">
      <w:pPr>
        <w:spacing w:after="0"/>
        <w:jc w:val="center"/>
        <w:rPr>
          <w:rFonts w:ascii="Bahnschrift SemiLight" w:hAnsi="Bahnschrift SemiLight"/>
          <w:b/>
          <w:i/>
          <w:color w:val="FF0000"/>
          <w:sz w:val="40"/>
          <w:szCs w:val="24"/>
        </w:rPr>
      </w:pPr>
      <w:r w:rsidRPr="00972C89">
        <w:rPr>
          <w:rFonts w:ascii="Bahnschrift SemiLight" w:hAnsi="Bahnschrift SemiLight"/>
          <w:b/>
          <w:i/>
          <w:color w:val="FF0000"/>
          <w:sz w:val="40"/>
          <w:szCs w:val="24"/>
        </w:rPr>
        <w:t>ПРАВОВОЙ ВЕСТНИК</w:t>
      </w:r>
    </w:p>
    <w:tbl>
      <w:tblPr>
        <w:tblpPr w:leftFromText="180" w:rightFromText="180" w:vertAnchor="page" w:horzAnchor="margin" w:tblpY="2473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972C89" w:rsidRPr="008340E9" w:rsidTr="00972C89">
        <w:trPr>
          <w:tblCellSpacing w:w="0" w:type="dxa"/>
        </w:trPr>
        <w:tc>
          <w:tcPr>
            <w:tcW w:w="8931" w:type="dxa"/>
            <w:shd w:val="clear" w:color="auto" w:fill="FFFFFF"/>
            <w:hideMark/>
          </w:tcPr>
          <w:p w:rsidR="007331B8" w:rsidRDefault="00972C89" w:rsidP="007331B8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340E9"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  <w:br/>
            </w:r>
            <w:r w:rsidRPr="00834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340E9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4F3F2C6" wp14:editId="2DB57C0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228600</wp:posOffset>
                  </wp:positionV>
                  <wp:extent cx="3710940" cy="2455545"/>
                  <wp:effectExtent l="0" t="0" r="3810" b="1905"/>
                  <wp:wrapSquare wrapText="bothSides"/>
                  <wp:docPr id="1" name="Рисунок 1" descr="онлайнинспекция.р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нлайнинспекция.р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940" cy="245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4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834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8340E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Трудовой договор стал бессрочным: нужно ли указывать в </w:t>
            </w:r>
            <w:r w:rsidRPr="00972C8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дополнительном  </w:t>
            </w:r>
            <w:r w:rsidRPr="008340E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соглашении почему?</w:t>
            </w:r>
            <w:r w:rsidRPr="008340E9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ru-RU"/>
              </w:rPr>
              <w:br/>
            </w:r>
            <w:r w:rsidRPr="008340E9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ru-RU"/>
              </w:rPr>
              <w:br/>
            </w:r>
            <w:r w:rsidRPr="008340E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ru-RU"/>
              </w:rPr>
              <w:t>Необязательно отражать в доп</w:t>
            </w:r>
            <w:r w:rsidR="007331B8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ru-RU"/>
              </w:rPr>
              <w:t xml:space="preserve">олнительном </w:t>
            </w:r>
            <w:r w:rsidRPr="00972C8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8340E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ru-RU"/>
              </w:rPr>
              <w:t xml:space="preserve">соглашении причину изменения трудового договора, если он стал бессрочным. Нормами действующего законодательства обязанность работодателя указывать в дополнительном соглашении к трудовому договору причину изменения его срока </w:t>
            </w:r>
            <w:proofErr w:type="gramStart"/>
            <w:r w:rsidRPr="008340E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ru-RU"/>
              </w:rPr>
              <w:t>с</w:t>
            </w:r>
            <w:proofErr w:type="gramEnd"/>
            <w:r w:rsidRPr="008340E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ru-RU"/>
              </w:rPr>
              <w:t xml:space="preserve"> срочного на бессрочный не установлена.</w:t>
            </w:r>
            <w:r w:rsidRPr="008340E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ru-RU"/>
              </w:rPr>
              <w:br/>
            </w:r>
            <w:r w:rsidRPr="008340E9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ru-RU"/>
              </w:rPr>
              <w:t xml:space="preserve">Согласно ст. 72 ТК РФ </w:t>
            </w:r>
            <w:r w:rsidRPr="008340E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ru-RU"/>
              </w:rPr>
              <w:t>изменение определенных сторонами условий трудового договора допускается только по соглашению сторон трудового договора, которое заключается в письменной форме.</w:t>
            </w:r>
            <w:r w:rsidRPr="008340E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ru-RU"/>
              </w:rPr>
              <w:br/>
            </w:r>
            <w:r w:rsidRPr="008340E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ru-RU"/>
              </w:rPr>
              <w:br/>
            </w:r>
            <w:r w:rsidRPr="008340E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Допустимо ли всем без исключения в организации установить ненормированный рабочий день?</w:t>
            </w:r>
          </w:p>
          <w:p w:rsidR="00972C89" w:rsidRPr="008340E9" w:rsidRDefault="007331B8" w:rsidP="007331B8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        </w:t>
            </w:r>
            <w:r w:rsidR="00972C89" w:rsidRPr="008340E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ru-RU"/>
              </w:rPr>
              <w:t xml:space="preserve">Если всем сотрудникам установить режим ненормированного рабочего времени, это не будет нарушением. Согласно ч. 1 ст. 101 ТК РФ ненормированный рабочий день 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      </w:r>
            <w:proofErr w:type="gramStart"/>
            <w:r w:rsidR="00972C89" w:rsidRPr="008340E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ru-RU"/>
              </w:rPr>
              <w:t>пределами</w:t>
            </w:r>
            <w:proofErr w:type="gramEnd"/>
            <w:r w:rsidR="00972C89" w:rsidRPr="008340E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ru-RU"/>
              </w:rPr>
              <w:t xml:space="preserve"> установленной для них продолжительности рабочего времени. Перечень должностей работников с ненормированным рабочим днем устанавливается </w:t>
            </w:r>
            <w:r w:rsidR="00972C89" w:rsidRPr="008340E9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ru-RU"/>
              </w:rPr>
              <w:t xml:space="preserve">коллективным договором, </w:t>
            </w:r>
            <w:r w:rsidR="00972C89" w:rsidRPr="008340E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ru-RU"/>
              </w:rPr>
              <w:t>соглашениями или локальным нормативным актом, принимаемым с учетом мнения представительного органа работников.</w:t>
            </w:r>
          </w:p>
        </w:tc>
      </w:tr>
    </w:tbl>
    <w:p w:rsidR="00972C89" w:rsidRPr="00972C89" w:rsidRDefault="00972C89" w:rsidP="00972C89">
      <w:pPr>
        <w:spacing w:after="0"/>
        <w:jc w:val="center"/>
        <w:rPr>
          <w:rFonts w:ascii="Bahnschrift SemiLight" w:hAnsi="Bahnschrift SemiLight"/>
          <w:b/>
          <w:i/>
          <w:color w:val="FF0000"/>
          <w:sz w:val="40"/>
          <w:szCs w:val="24"/>
        </w:rPr>
      </w:pPr>
    </w:p>
    <w:p w:rsidR="007F3362" w:rsidRDefault="007F3362" w:rsidP="008340E9">
      <w:pPr>
        <w:jc w:val="center"/>
      </w:pPr>
    </w:p>
    <w:sectPr w:rsidR="007F3362" w:rsidSect="00972C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5F3A"/>
    <w:multiLevelType w:val="multilevel"/>
    <w:tmpl w:val="0258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22"/>
    <w:rsid w:val="00615422"/>
    <w:rsid w:val="007331B8"/>
    <w:rsid w:val="007F3362"/>
    <w:rsid w:val="008340E9"/>
    <w:rsid w:val="009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2022-05-20T06:06:00Z</dcterms:created>
  <dcterms:modified xsi:type="dcterms:W3CDTF">2022-05-20T06:30:00Z</dcterms:modified>
</cp:coreProperties>
</file>